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601F" w14:textId="0E67DB8E" w:rsidR="001A59ED" w:rsidRDefault="00272A7A">
      <w:pPr>
        <w:spacing w:after="0" w:line="259" w:lineRule="auto"/>
        <w:ind w:left="156" w:firstLine="0"/>
      </w:pPr>
      <w:r>
        <w:rPr>
          <w:b/>
          <w:sz w:val="32"/>
        </w:rPr>
        <w:t>Lauren Moore</w:t>
      </w:r>
      <w:r w:rsidR="00DF6D39">
        <w:rPr>
          <w:b/>
          <w:sz w:val="32"/>
        </w:rPr>
        <w:t xml:space="preserve"> </w:t>
      </w:r>
    </w:p>
    <w:p w14:paraId="34BA5D9A" w14:textId="69A9BA4B" w:rsidR="001A59ED" w:rsidRDefault="00272A7A">
      <w:pPr>
        <w:tabs>
          <w:tab w:val="center" w:pos="4520"/>
        </w:tabs>
        <w:spacing w:after="0" w:line="259" w:lineRule="auto"/>
        <w:ind w:left="0" w:firstLine="0"/>
      </w:pPr>
      <w:r>
        <w:t xml:space="preserve">    </w:t>
      </w:r>
      <w:proofErr w:type="gramStart"/>
      <w:r w:rsidR="00DF6D39">
        <w:t>Contact :</w:t>
      </w:r>
      <w:proofErr w:type="gramEnd"/>
      <w:r w:rsidR="00DF6D39">
        <w:t xml:space="preserve"> </w:t>
      </w:r>
      <w:r w:rsidR="00DF6D39">
        <w:rPr>
          <w:i/>
          <w:u w:val="single" w:color="000000"/>
        </w:rPr>
        <w:t xml:space="preserve">+91 </w:t>
      </w:r>
      <w:r>
        <w:rPr>
          <w:i/>
          <w:u w:val="single" w:color="000000"/>
        </w:rPr>
        <w:t>0008881212</w:t>
      </w:r>
      <w:r w:rsidR="00DF6D39">
        <w:rPr>
          <w:i/>
        </w:rPr>
        <w:t xml:space="preserve"> </w:t>
      </w:r>
      <w:r w:rsidR="00DF6D39">
        <w:rPr>
          <w:i/>
        </w:rPr>
        <w:tab/>
      </w:r>
      <w:r w:rsidR="00DF6D39">
        <w:t xml:space="preserve">Email : </w:t>
      </w:r>
      <w:r>
        <w:rPr>
          <w:i/>
          <w:u w:val="single" w:color="000000"/>
        </w:rPr>
        <w:t>laurenmoore</w:t>
      </w:r>
      <w:r w:rsidR="00DF6D39">
        <w:rPr>
          <w:i/>
          <w:u w:val="single" w:color="000000"/>
        </w:rPr>
        <w:t>@</w:t>
      </w:r>
      <w:r>
        <w:rPr>
          <w:i/>
          <w:u w:val="single" w:color="000000"/>
        </w:rPr>
        <w:t>repectjob</w:t>
      </w:r>
      <w:r w:rsidR="00DF6D39">
        <w:rPr>
          <w:i/>
          <w:u w:val="single" w:color="000000"/>
        </w:rPr>
        <w:t>.com</w:t>
      </w:r>
      <w:r w:rsidR="00DF6D39">
        <w:rPr>
          <w:i/>
        </w:rPr>
        <w:t xml:space="preserve"> </w:t>
      </w:r>
    </w:p>
    <w:p w14:paraId="6CA5BCB4" w14:textId="77777777" w:rsidR="001A59ED" w:rsidRDefault="00DF6D39">
      <w:pPr>
        <w:tabs>
          <w:tab w:val="right" w:pos="9792"/>
        </w:tabs>
        <w:spacing w:after="104" w:line="259" w:lineRule="auto"/>
        <w:ind w:left="0" w:firstLine="0"/>
      </w:pPr>
      <w:r>
        <w:rPr>
          <w:i/>
          <w:sz w:val="14"/>
        </w:rPr>
        <w:t xml:space="preserve"> </w:t>
      </w:r>
      <w:r>
        <w:rPr>
          <w:i/>
          <w:sz w:val="1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6468968" wp14:editId="2B121AFF">
                <wp:extent cx="6042660" cy="12700"/>
                <wp:effectExtent l="0" t="0" r="0" b="0"/>
                <wp:docPr id="6695" name="Group 6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2700"/>
                          <a:chOff x="0" y="0"/>
                          <a:chExt cx="6042660" cy="12700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6042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>
                                <a:moveTo>
                                  <a:pt x="0" y="0"/>
                                </a:moveTo>
                                <a:lnTo>
                                  <a:pt x="60426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5" style="width:475.8pt;height:1pt;mso-position-horizontal-relative:char;mso-position-vertical-relative:line" coordsize="60426,127">
                <v:shape id="Shape 783" style="position:absolute;width:60426;height:0;left:0;top:0;" coordsize="6042660,0" path="m0,0l60426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D45247A" w14:textId="01CF4CFF" w:rsidR="001A59ED" w:rsidRDefault="00DF6D39">
      <w:pPr>
        <w:ind w:right="107"/>
      </w:pPr>
      <w:r>
        <w:t xml:space="preserve">Investment Banking Professional with CFA, FRM &amp; CA qualifications and </w:t>
      </w:r>
      <w:r>
        <w:t xml:space="preserve">experience in Risk Management for multiple asset classes. </w:t>
      </w:r>
    </w:p>
    <w:p w14:paraId="50952320" w14:textId="77777777" w:rsidR="001A59ED" w:rsidRDefault="00DF6D39">
      <w:pPr>
        <w:spacing w:after="0" w:line="259" w:lineRule="auto"/>
        <w:ind w:left="0" w:firstLine="0"/>
      </w:pPr>
      <w:r>
        <w:t xml:space="preserve"> </w:t>
      </w:r>
    </w:p>
    <w:p w14:paraId="0471756B" w14:textId="77777777" w:rsidR="001A59ED" w:rsidRDefault="00DF6D39">
      <w:pPr>
        <w:pStyle w:val="Heading1"/>
        <w:tabs>
          <w:tab w:val="center" w:pos="9696"/>
        </w:tabs>
        <w:spacing w:after="19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275A9" wp14:editId="2388CA1C">
                <wp:simplePos x="0" y="0"/>
                <wp:positionH relativeFrom="column">
                  <wp:posOffset>99365</wp:posOffset>
                </wp:positionH>
                <wp:positionV relativeFrom="paragraph">
                  <wp:posOffset>102488</wp:posOffset>
                </wp:positionV>
                <wp:extent cx="6057265" cy="16764"/>
                <wp:effectExtent l="0" t="0" r="0" b="0"/>
                <wp:wrapNone/>
                <wp:docPr id="6694" name="Group 6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265" cy="16764"/>
                          <a:chOff x="0" y="0"/>
                          <a:chExt cx="6057265" cy="16764"/>
                        </a:xfrm>
                      </wpg:grpSpPr>
                      <wps:wsp>
                        <wps:cNvPr id="7361" name="Shape 7361"/>
                        <wps:cNvSpPr/>
                        <wps:spPr>
                          <a:xfrm>
                            <a:off x="0" y="0"/>
                            <a:ext cx="6057265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265" h="16764">
                                <a:moveTo>
                                  <a:pt x="0" y="0"/>
                                </a:moveTo>
                                <a:lnTo>
                                  <a:pt x="6057265" y="0"/>
                                </a:lnTo>
                                <a:lnTo>
                                  <a:pt x="6057265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4" style="width:476.95pt;height:1.32001pt;position:absolute;z-index:39;mso-position-horizontal-relative:text;mso-position-horizontal:absolute;margin-left:7.824pt;mso-position-vertical-relative:text;margin-top:8.06994pt;" coordsize="60572,167">
                <v:shape id="Shape 7362" style="position:absolute;width:60572;height:167;left:0;top:0;" coordsize="6057265,16764" path="m0,0l6057265,0l6057265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PROFESSIONAL QUALIFICATIONS </w:t>
      </w:r>
      <w:r>
        <w:rPr>
          <w:sz w:val="20"/>
        </w:rPr>
        <w:tab/>
        <w:t xml:space="preserve"> </w:t>
      </w:r>
    </w:p>
    <w:p w14:paraId="0FB247D7" w14:textId="77777777" w:rsidR="001A59ED" w:rsidRDefault="00DF6D39">
      <w:pPr>
        <w:numPr>
          <w:ilvl w:val="0"/>
          <w:numId w:val="1"/>
        </w:numPr>
        <w:ind w:right="107" w:hanging="360"/>
      </w:pPr>
      <w:r>
        <w:rPr>
          <w:b/>
        </w:rPr>
        <w:t xml:space="preserve">CFA Level - 3 </w:t>
      </w:r>
      <w:r>
        <w:t xml:space="preserve">from CFA Institute in June 2019 </w:t>
      </w:r>
    </w:p>
    <w:p w14:paraId="457ABEE6" w14:textId="77777777" w:rsidR="001A59ED" w:rsidRDefault="00DF6D39">
      <w:pPr>
        <w:numPr>
          <w:ilvl w:val="0"/>
          <w:numId w:val="1"/>
        </w:numPr>
        <w:ind w:right="107" w:hanging="360"/>
      </w:pPr>
      <w:r>
        <w:rPr>
          <w:b/>
        </w:rPr>
        <w:t xml:space="preserve">FRM (Part 1 &amp; 2) </w:t>
      </w:r>
      <w:r>
        <w:t xml:space="preserve">from GARP in May 2017 </w:t>
      </w:r>
    </w:p>
    <w:p w14:paraId="10FA5573" w14:textId="371C4D59" w:rsidR="001A59ED" w:rsidRDefault="00DF6D39">
      <w:pPr>
        <w:numPr>
          <w:ilvl w:val="0"/>
          <w:numId w:val="1"/>
        </w:numPr>
        <w:ind w:right="107" w:hanging="360"/>
      </w:pPr>
      <w:r>
        <w:rPr>
          <w:b/>
        </w:rPr>
        <w:t xml:space="preserve">CA </w:t>
      </w:r>
      <w:r>
        <w:t>(1</w:t>
      </w:r>
      <w:r>
        <w:rPr>
          <w:vertAlign w:val="superscript"/>
        </w:rPr>
        <w:t>st</w:t>
      </w:r>
      <w:r>
        <w:t xml:space="preserve"> Attempt) from Institute of Chartered Accountants of India in November 201</w:t>
      </w:r>
      <w:r w:rsidR="00272A7A">
        <w:t>5</w:t>
      </w:r>
      <w:r>
        <w:t xml:space="preserve"> </w:t>
      </w:r>
    </w:p>
    <w:p w14:paraId="6EACD2B9" w14:textId="77777777" w:rsidR="001A59ED" w:rsidRDefault="00DF6D39">
      <w:pPr>
        <w:spacing w:after="0" w:line="259" w:lineRule="auto"/>
        <w:ind w:left="0" w:firstLine="0"/>
      </w:pPr>
      <w:r>
        <w:t xml:space="preserve"> </w:t>
      </w:r>
    </w:p>
    <w:p w14:paraId="771CFB04" w14:textId="77777777" w:rsidR="001A59ED" w:rsidRDefault="00DF6D39">
      <w:pPr>
        <w:pStyle w:val="Heading1"/>
        <w:spacing w:after="1"/>
        <w:ind w:left="151"/>
      </w:pPr>
      <w:r>
        <w:rPr>
          <w:sz w:val="20"/>
        </w:rPr>
        <w:t xml:space="preserve">PROFESSIONAL EXPERIENCE </w:t>
      </w:r>
    </w:p>
    <w:p w14:paraId="2DD6B361" w14:textId="77777777" w:rsidR="001A59ED" w:rsidRDefault="00DF6D39">
      <w:pPr>
        <w:spacing w:after="162" w:line="259" w:lineRule="auto"/>
        <w:ind w:left="11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BE556F" wp14:editId="0DE0652F">
                <wp:extent cx="6050281" cy="12700"/>
                <wp:effectExtent l="0" t="0" r="0" b="0"/>
                <wp:docPr id="6696" name="Group 6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281" cy="12700"/>
                          <a:chOff x="0" y="0"/>
                          <a:chExt cx="6050281" cy="12700"/>
                        </a:xfrm>
                      </wpg:grpSpPr>
                      <wps:wsp>
                        <wps:cNvPr id="784" name="Shape 784"/>
                        <wps:cNvSpPr/>
                        <wps:spPr>
                          <a:xfrm>
                            <a:off x="0" y="0"/>
                            <a:ext cx="6050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1">
                                <a:moveTo>
                                  <a:pt x="0" y="0"/>
                                </a:moveTo>
                                <a:lnTo>
                                  <a:pt x="605028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6" style="width:476.4pt;height:1pt;mso-position-horizontal-relative:char;mso-position-vertical-relative:line" coordsize="60502,127">
                <v:shape id="Shape 784" style="position:absolute;width:60502;height:0;left:0;top:0;" coordsize="6050281,0" path="m0,0l6050281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0AC4B82" w14:textId="41ED9364" w:rsidR="001A59ED" w:rsidRDefault="00272A7A">
      <w:pPr>
        <w:pStyle w:val="Heading1"/>
        <w:spacing w:after="99"/>
        <w:ind w:left="295"/>
      </w:pPr>
      <w:r>
        <w:t>Deloitte</w:t>
      </w:r>
    </w:p>
    <w:p w14:paraId="1037D731" w14:textId="72698C93" w:rsidR="001A59ED" w:rsidRDefault="00272A7A" w:rsidP="00272A7A">
      <w:pPr>
        <w:pStyle w:val="Heading2"/>
        <w:tabs>
          <w:tab w:val="center" w:pos="2713"/>
          <w:tab w:val="center" w:pos="7105"/>
          <w:tab w:val="right" w:pos="9792"/>
        </w:tabs>
        <w:ind w:left="0" w:right="-3" w:firstLine="0"/>
      </w:pPr>
      <w:r>
        <w:rPr>
          <w:b w:val="0"/>
        </w:rPr>
        <w:t xml:space="preserve">     </w:t>
      </w:r>
      <w:r w:rsidR="00DF6D39">
        <w:t>Scenario Design Consultant</w:t>
      </w:r>
      <w:proofErr w:type="gramStart"/>
      <w:r w:rsidR="00DF6D39">
        <w:rPr>
          <w:sz w:val="24"/>
        </w:rPr>
        <w:tab/>
        <w:t xml:space="preserve">  </w:t>
      </w:r>
      <w:r w:rsidR="00DF6D39">
        <w:rPr>
          <w:sz w:val="24"/>
        </w:rPr>
        <w:tab/>
      </w:r>
      <w:proofErr w:type="gramEnd"/>
      <w:r w:rsidR="00DF6D39">
        <w:rPr>
          <w:sz w:val="24"/>
        </w:rPr>
        <w:t xml:space="preserve">          </w:t>
      </w:r>
      <w:r w:rsidR="00DF6D39">
        <w:rPr>
          <w:sz w:val="20"/>
        </w:rPr>
        <w:t>Apr</w:t>
      </w:r>
      <w:r w:rsidR="00DF6D39">
        <w:rPr>
          <w:sz w:val="20"/>
        </w:rPr>
        <w:t>’</w:t>
      </w:r>
      <w:r w:rsidR="00DF6D39">
        <w:rPr>
          <w:sz w:val="20"/>
        </w:rPr>
        <w:t>2</w:t>
      </w:r>
      <w:r>
        <w:rPr>
          <w:sz w:val="20"/>
        </w:rPr>
        <w:t>4</w:t>
      </w:r>
      <w:r w:rsidR="00DF6D39">
        <w:rPr>
          <w:sz w:val="20"/>
        </w:rPr>
        <w:t xml:space="preserve"> </w:t>
      </w:r>
      <w:r w:rsidR="00DF6D39">
        <w:rPr>
          <w:sz w:val="20"/>
        </w:rPr>
        <w:t>–</w:t>
      </w:r>
      <w:r w:rsidR="00DF6D39">
        <w:rPr>
          <w:sz w:val="20"/>
        </w:rPr>
        <w:t xml:space="preserve"> </w:t>
      </w:r>
      <w:r>
        <w:rPr>
          <w:sz w:val="20"/>
        </w:rPr>
        <w:t>Present</w:t>
      </w:r>
      <w:r w:rsidR="00DF6D39">
        <w:rPr>
          <w:sz w:val="24"/>
        </w:rPr>
        <w:t xml:space="preserve"> </w:t>
      </w:r>
      <w:r w:rsidR="00DF6D39">
        <w:t xml:space="preserve"> </w:t>
      </w:r>
    </w:p>
    <w:p w14:paraId="49471B43" w14:textId="6439828E" w:rsidR="001A59ED" w:rsidRDefault="00DF6D39">
      <w:pPr>
        <w:numPr>
          <w:ilvl w:val="0"/>
          <w:numId w:val="2"/>
        </w:numPr>
        <w:ind w:right="193" w:hanging="360"/>
      </w:pPr>
      <w:r>
        <w:t>S</w:t>
      </w:r>
      <w:r>
        <w:t xml:space="preserve">upporting the development of scenario narrative and keeping relevant existing scenarios for the RRP </w:t>
      </w:r>
      <w:r w:rsidR="00272A7A">
        <w:t>programmed</w:t>
      </w:r>
      <w:r>
        <w:t>, as external c</w:t>
      </w:r>
      <w:r>
        <w:t xml:space="preserve">onditions evolve and to ensure that material risks and exposures are captured </w:t>
      </w:r>
    </w:p>
    <w:p w14:paraId="47EDB67A" w14:textId="77777777" w:rsidR="001A59ED" w:rsidRDefault="00DF6D39">
      <w:pPr>
        <w:numPr>
          <w:ilvl w:val="0"/>
          <w:numId w:val="2"/>
        </w:numPr>
        <w:ind w:right="193" w:hanging="360"/>
      </w:pPr>
      <w:r>
        <w:t xml:space="preserve">Involved in supplementing the use of the models with qualitative experienced judgement, which references stress events that have occurred in the past and brainstorming </w:t>
      </w:r>
      <w:r>
        <w:t xml:space="preserve">how the markets and economy may plausibly react in the future in line with the scenario narrative </w:t>
      </w:r>
    </w:p>
    <w:p w14:paraId="057E37B2" w14:textId="77777777" w:rsidR="001A59ED" w:rsidRDefault="00DF6D39">
      <w:pPr>
        <w:numPr>
          <w:ilvl w:val="0"/>
          <w:numId w:val="2"/>
        </w:numPr>
        <w:ind w:right="193" w:hanging="360"/>
      </w:pPr>
      <w:r>
        <w:t xml:space="preserve">Helping to drive syndication and agreement on stress scenario assumptions with the Economists, Risk Managers and Model owners across all the asset classes </w:t>
      </w:r>
    </w:p>
    <w:p w14:paraId="562B652E" w14:textId="77777777" w:rsidR="001A59ED" w:rsidRDefault="00DF6D39">
      <w:pPr>
        <w:numPr>
          <w:ilvl w:val="0"/>
          <w:numId w:val="2"/>
        </w:numPr>
        <w:spacing w:after="109"/>
        <w:ind w:right="193" w:hanging="360"/>
      </w:pPr>
      <w:r>
        <w:t>R</w:t>
      </w:r>
      <w:r>
        <w:t>un the quarterly RRP process to update paths and shocks in downstream templates if RRP scenarios get recalibrated</w:t>
      </w:r>
      <w:r>
        <w:rPr>
          <w:b/>
          <w:sz w:val="24"/>
        </w:rPr>
        <w:t xml:space="preserve"> </w:t>
      </w:r>
    </w:p>
    <w:p w14:paraId="59D5746B" w14:textId="487B9BB1" w:rsidR="001A59ED" w:rsidRDefault="00272A7A">
      <w:pPr>
        <w:pStyle w:val="Heading1"/>
        <w:spacing w:after="103"/>
        <w:ind w:left="295"/>
      </w:pPr>
      <w:r>
        <w:t>Bank of America</w:t>
      </w:r>
    </w:p>
    <w:p w14:paraId="6CE01D7C" w14:textId="6EA99B3C" w:rsidR="001A59ED" w:rsidRDefault="00DF6D39">
      <w:pPr>
        <w:pStyle w:val="Heading2"/>
        <w:tabs>
          <w:tab w:val="center" w:pos="1425"/>
          <w:tab w:val="center" w:pos="7105"/>
          <w:tab w:val="right" w:pos="9792"/>
        </w:tabs>
        <w:ind w:left="0" w:right="-3" w:firstLine="0"/>
      </w:pPr>
      <w:r>
        <w:rPr>
          <w:b w:val="0"/>
        </w:rPr>
        <w:tab/>
      </w:r>
      <w:r>
        <w:t>Analyst, Investment Risk</w:t>
      </w:r>
      <w:r>
        <w:rPr>
          <w:sz w:val="24"/>
        </w:rPr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         </w:t>
      </w:r>
      <w:r>
        <w:rPr>
          <w:sz w:val="20"/>
        </w:rPr>
        <w:t>Aug</w:t>
      </w:r>
      <w:r>
        <w:rPr>
          <w:sz w:val="20"/>
        </w:rPr>
        <w:t>’</w:t>
      </w:r>
      <w:r>
        <w:rPr>
          <w:sz w:val="20"/>
        </w:rPr>
        <w:t xml:space="preserve">19 </w:t>
      </w:r>
      <w:r>
        <w:rPr>
          <w:sz w:val="20"/>
        </w:rPr>
        <w:t>–</w:t>
      </w:r>
      <w:r>
        <w:rPr>
          <w:sz w:val="20"/>
        </w:rPr>
        <w:t xml:space="preserve"> </w:t>
      </w:r>
      <w:r w:rsidR="00272A7A">
        <w:rPr>
          <w:sz w:val="20"/>
        </w:rPr>
        <w:t>Mar</w:t>
      </w:r>
      <w:r>
        <w:rPr>
          <w:sz w:val="20"/>
        </w:rPr>
        <w:t>’</w:t>
      </w:r>
      <w:r>
        <w:rPr>
          <w:sz w:val="20"/>
        </w:rPr>
        <w:t>2</w:t>
      </w:r>
      <w:r w:rsidR="00272A7A">
        <w:rPr>
          <w:sz w:val="20"/>
        </w:rPr>
        <w:t>4</w:t>
      </w:r>
      <w:r>
        <w:rPr>
          <w:sz w:val="20"/>
        </w:rPr>
        <w:t xml:space="preserve"> </w:t>
      </w:r>
    </w:p>
    <w:p w14:paraId="6CD81E79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Developing Market Risk models using Excel VBA for </w:t>
      </w:r>
      <w:r>
        <w:t xml:space="preserve">multiple asset classes like </w:t>
      </w:r>
      <w:r>
        <w:rPr>
          <w:b/>
        </w:rPr>
        <w:t>Fixed Income securities</w:t>
      </w:r>
      <w:r>
        <w:t xml:space="preserve">, </w:t>
      </w:r>
      <w:r>
        <w:rPr>
          <w:b/>
        </w:rPr>
        <w:t xml:space="preserve">Exotic derivatives </w:t>
      </w:r>
      <w:r>
        <w:t xml:space="preserve">and </w:t>
      </w:r>
      <w:r>
        <w:rPr>
          <w:b/>
        </w:rPr>
        <w:t xml:space="preserve">Equities </w:t>
      </w:r>
      <w:r>
        <w:t xml:space="preserve">for portfolio Capital impact </w:t>
      </w:r>
    </w:p>
    <w:p w14:paraId="3A15EEAF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Defining parameters for each model mainly </w:t>
      </w:r>
      <w:r>
        <w:rPr>
          <w:b/>
        </w:rPr>
        <w:t xml:space="preserve">Asset Liability </w:t>
      </w:r>
      <w:r>
        <w:t xml:space="preserve">models according to the internal requirement and testing the parameters once model </w:t>
      </w:r>
      <w:r>
        <w:t xml:space="preserve">development is done </w:t>
      </w:r>
    </w:p>
    <w:p w14:paraId="76728A9C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Validating model calibration and model robustness using defined </w:t>
      </w:r>
      <w:proofErr w:type="spellStart"/>
      <w:r>
        <w:rPr>
          <w:b/>
        </w:rPr>
        <w:t>Backtesting</w:t>
      </w:r>
      <w:proofErr w:type="spellEnd"/>
      <w:r>
        <w:rPr>
          <w:b/>
        </w:rPr>
        <w:t xml:space="preserve"> </w:t>
      </w:r>
      <w:r>
        <w:t xml:space="preserve">and </w:t>
      </w:r>
      <w:r>
        <w:rPr>
          <w:b/>
        </w:rPr>
        <w:t xml:space="preserve">Stress testing </w:t>
      </w:r>
      <w:r>
        <w:t xml:space="preserve">parameters </w:t>
      </w:r>
    </w:p>
    <w:p w14:paraId="233C771D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Analyzing model data for Risk decision making and presenting to the higher management </w:t>
      </w:r>
    </w:p>
    <w:p w14:paraId="61B25180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Calculation of </w:t>
      </w:r>
      <w:r>
        <w:rPr>
          <w:b/>
        </w:rPr>
        <w:t xml:space="preserve">Risk analytics </w:t>
      </w:r>
      <w:r>
        <w:t xml:space="preserve">and </w:t>
      </w:r>
      <w:r>
        <w:rPr>
          <w:b/>
        </w:rPr>
        <w:t xml:space="preserve">Option </w:t>
      </w:r>
      <w:r>
        <w:rPr>
          <w:b/>
        </w:rPr>
        <w:t xml:space="preserve">Greeks </w:t>
      </w:r>
      <w:r>
        <w:t xml:space="preserve">for the securities in different funds issued by the hedge fund </w:t>
      </w:r>
    </w:p>
    <w:p w14:paraId="10ED7DA9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Analysis of model data for recommendations to the hedge fund to reduce duration gaps in asset and </w:t>
      </w:r>
    </w:p>
    <w:p w14:paraId="01FA6DED" w14:textId="77777777" w:rsidR="001A59ED" w:rsidRDefault="00DF6D39">
      <w:pPr>
        <w:ind w:left="1030" w:right="107"/>
      </w:pPr>
      <w:r>
        <w:t xml:space="preserve">liability </w:t>
      </w:r>
    </w:p>
    <w:p w14:paraId="7F57D30B" w14:textId="77777777" w:rsidR="001A59ED" w:rsidRDefault="00DF6D39">
      <w:pPr>
        <w:numPr>
          <w:ilvl w:val="0"/>
          <w:numId w:val="3"/>
        </w:numPr>
        <w:ind w:right="107" w:hanging="360"/>
      </w:pPr>
      <w:r>
        <w:t>Presentation and Reporting of t</w:t>
      </w:r>
      <w:bookmarkStart w:id="0" w:name="_GoBack"/>
      <w:bookmarkEnd w:id="0"/>
      <w:r>
        <w:t>he risk analytics data to the internal inves</w:t>
      </w:r>
      <w:r>
        <w:t xml:space="preserve">tment committee and regulatory reporting for the funds and investee companies </w:t>
      </w:r>
    </w:p>
    <w:p w14:paraId="674844CF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Streamlining and improvisation of data presentation and report preparation process to ensure highest level of data accuracy and effective data provision </w:t>
      </w:r>
    </w:p>
    <w:p w14:paraId="5A8494AF" w14:textId="77777777" w:rsidR="001A59ED" w:rsidRDefault="00DF6D39">
      <w:pPr>
        <w:numPr>
          <w:ilvl w:val="0"/>
          <w:numId w:val="3"/>
        </w:numPr>
        <w:ind w:right="107" w:hanging="360"/>
      </w:pPr>
      <w:r>
        <w:t xml:space="preserve">Delivering timely and </w:t>
      </w:r>
      <w:r>
        <w:t xml:space="preserve">accurate Risk Models to the Risk Managers and front-end users for decision making </w:t>
      </w:r>
    </w:p>
    <w:p w14:paraId="2B48F576" w14:textId="77777777" w:rsidR="001A59ED" w:rsidRDefault="00DF6D39">
      <w:pPr>
        <w:spacing w:after="49" w:line="259" w:lineRule="auto"/>
        <w:ind w:left="0" w:firstLine="0"/>
      </w:pPr>
      <w:r>
        <w:rPr>
          <w:sz w:val="17"/>
        </w:rPr>
        <w:t xml:space="preserve"> </w:t>
      </w:r>
    </w:p>
    <w:p w14:paraId="28FD7B52" w14:textId="1E90D958" w:rsidR="001A59ED" w:rsidRDefault="00272A7A">
      <w:pPr>
        <w:pStyle w:val="Heading1"/>
        <w:ind w:left="295"/>
      </w:pPr>
      <w:r>
        <w:t>JP Morgan Chase</w:t>
      </w:r>
    </w:p>
    <w:p w14:paraId="1F70CF42" w14:textId="77777777" w:rsidR="001A59ED" w:rsidRDefault="00DF6D39">
      <w:pPr>
        <w:pStyle w:val="Heading2"/>
        <w:tabs>
          <w:tab w:val="center" w:pos="1213"/>
          <w:tab w:val="center" w:pos="7504"/>
          <w:tab w:val="right" w:pos="9792"/>
        </w:tabs>
        <w:ind w:left="0" w:right="-3" w:firstLine="0"/>
      </w:pPr>
      <w:r>
        <w:rPr>
          <w:b w:val="0"/>
        </w:rPr>
        <w:tab/>
      </w:r>
      <w:r>
        <w:t>Market Risk Analyst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</w:t>
      </w:r>
      <w:r>
        <w:rPr>
          <w:sz w:val="20"/>
        </w:rPr>
        <w:t>Apr</w:t>
      </w:r>
      <w:r>
        <w:rPr>
          <w:sz w:val="20"/>
        </w:rPr>
        <w:t>’</w:t>
      </w:r>
      <w:r>
        <w:rPr>
          <w:sz w:val="20"/>
        </w:rPr>
        <w:t xml:space="preserve">17 </w:t>
      </w:r>
      <w:r>
        <w:rPr>
          <w:sz w:val="20"/>
        </w:rPr>
        <w:t>–</w:t>
      </w:r>
      <w:r>
        <w:rPr>
          <w:sz w:val="20"/>
        </w:rPr>
        <w:t xml:space="preserve"> Aug</w:t>
      </w:r>
      <w:r>
        <w:rPr>
          <w:sz w:val="20"/>
        </w:rPr>
        <w:t>’</w:t>
      </w:r>
      <w:r>
        <w:rPr>
          <w:sz w:val="20"/>
        </w:rPr>
        <w:t xml:space="preserve">19 </w:t>
      </w:r>
    </w:p>
    <w:p w14:paraId="45CBE1FB" w14:textId="77777777" w:rsidR="001A59ED" w:rsidRDefault="00DF6D39">
      <w:pPr>
        <w:numPr>
          <w:ilvl w:val="0"/>
          <w:numId w:val="4"/>
        </w:numPr>
        <w:ind w:right="107" w:hanging="360"/>
      </w:pPr>
      <w:r>
        <w:t xml:space="preserve">Preparation of Global Consolidated Market Risk Reports for regulatory submissions </w:t>
      </w:r>
    </w:p>
    <w:p w14:paraId="39A92D34" w14:textId="77777777" w:rsidR="001A59ED" w:rsidRDefault="00DF6D39">
      <w:pPr>
        <w:numPr>
          <w:ilvl w:val="0"/>
          <w:numId w:val="4"/>
        </w:numPr>
        <w:spacing w:after="36"/>
        <w:ind w:right="107" w:hanging="360"/>
      </w:pPr>
      <w:r>
        <w:t>Calculation of</w:t>
      </w:r>
      <w:r>
        <w:t xml:space="preserve"> </w:t>
      </w:r>
      <w:r>
        <w:rPr>
          <w:b/>
        </w:rPr>
        <w:t xml:space="preserve">Market Risk Capital </w:t>
      </w:r>
      <w:r>
        <w:t xml:space="preserve">&amp; </w:t>
      </w:r>
      <w:r>
        <w:rPr>
          <w:b/>
        </w:rPr>
        <w:t xml:space="preserve">RWA </w:t>
      </w:r>
      <w:r>
        <w:t xml:space="preserve">numbers for the Bank and its legal entities using </w:t>
      </w:r>
      <w:proofErr w:type="spellStart"/>
      <w:r>
        <w:t>VaR</w:t>
      </w:r>
      <w:proofErr w:type="spellEnd"/>
      <w:r>
        <w:t xml:space="preserve"> and </w:t>
      </w:r>
      <w:r>
        <w:rPr>
          <w:b/>
        </w:rPr>
        <w:t xml:space="preserve">Expected Shortfall </w:t>
      </w:r>
      <w:r>
        <w:t xml:space="preserve">to be used in Financial Statements and Regulatory Submissions </w:t>
      </w:r>
    </w:p>
    <w:p w14:paraId="2A38079F" w14:textId="77777777" w:rsidR="001A59ED" w:rsidRDefault="00DF6D39">
      <w:pPr>
        <w:numPr>
          <w:ilvl w:val="0"/>
          <w:numId w:val="4"/>
        </w:numPr>
        <w:ind w:right="107" w:hanging="360"/>
      </w:pPr>
      <w:r>
        <w:rPr>
          <w:b/>
        </w:rPr>
        <w:t xml:space="preserve">Marginal Impact Analysis </w:t>
      </w:r>
      <w:r>
        <w:t xml:space="preserve">of Businesses and </w:t>
      </w:r>
      <w:proofErr w:type="spellStart"/>
      <w:r>
        <w:t>Risktypes</w:t>
      </w:r>
      <w:proofErr w:type="spellEnd"/>
      <w:r>
        <w:t xml:space="preserve"> on </w:t>
      </w:r>
      <w:proofErr w:type="spellStart"/>
      <w:r>
        <w:rPr>
          <w:b/>
        </w:rPr>
        <w:t>VaR</w:t>
      </w:r>
      <w:proofErr w:type="spellEnd"/>
      <w:r>
        <w:rPr>
          <w:b/>
        </w:rPr>
        <w:t xml:space="preserve"> </w:t>
      </w:r>
      <w:r>
        <w:t xml:space="preserve">for the Bank using </w:t>
      </w:r>
      <w:r>
        <w:rPr>
          <w:b/>
        </w:rPr>
        <w:t>Sensitivities</w:t>
      </w:r>
      <w:r>
        <w:t xml:space="preserve">, time series data and spot positions </w:t>
      </w:r>
    </w:p>
    <w:p w14:paraId="42892F89" w14:textId="77777777" w:rsidR="001A59ED" w:rsidRDefault="00DF6D39">
      <w:pPr>
        <w:numPr>
          <w:ilvl w:val="0"/>
          <w:numId w:val="4"/>
        </w:numPr>
        <w:spacing w:after="39"/>
        <w:ind w:right="107" w:hanging="360"/>
      </w:pPr>
      <w:proofErr w:type="spellStart"/>
      <w:r>
        <w:rPr>
          <w:b/>
        </w:rPr>
        <w:t>VaR</w:t>
      </w:r>
      <w:proofErr w:type="spellEnd"/>
      <w:r>
        <w:rPr>
          <w:b/>
        </w:rPr>
        <w:t xml:space="preserve"> Component Analysis </w:t>
      </w:r>
      <w:r>
        <w:t xml:space="preserve">using multiple parameters set by the internal Risk management team </w:t>
      </w:r>
    </w:p>
    <w:p w14:paraId="23F16D45" w14:textId="77777777" w:rsidR="001A59ED" w:rsidRDefault="00DF6D39">
      <w:pPr>
        <w:numPr>
          <w:ilvl w:val="0"/>
          <w:numId w:val="4"/>
        </w:numPr>
        <w:ind w:right="107" w:hanging="360"/>
      </w:pPr>
      <w:r>
        <w:lastRenderedPageBreak/>
        <w:t xml:space="preserve">Investigation and analysis of significant </w:t>
      </w:r>
      <w:proofErr w:type="spellStart"/>
      <w:r>
        <w:t>VaR</w:t>
      </w:r>
      <w:proofErr w:type="spellEnd"/>
      <w:r>
        <w:t xml:space="preserve">, Sensitivities and </w:t>
      </w:r>
      <w:r>
        <w:rPr>
          <w:b/>
        </w:rPr>
        <w:t xml:space="preserve">Incremental Risk Charge </w:t>
      </w:r>
      <w:r>
        <w:t>(IRC) movements by colla</w:t>
      </w:r>
      <w:r>
        <w:t xml:space="preserve">borating with Front Office for details on trade positions </w:t>
      </w:r>
    </w:p>
    <w:p w14:paraId="7FF9A304" w14:textId="77777777" w:rsidR="001A59ED" w:rsidRDefault="00DF6D39">
      <w:pPr>
        <w:numPr>
          <w:ilvl w:val="0"/>
          <w:numId w:val="4"/>
        </w:numPr>
        <w:ind w:right="107" w:hanging="360"/>
      </w:pPr>
      <w:r>
        <w:t xml:space="preserve">Creating daily </w:t>
      </w:r>
      <w:proofErr w:type="spellStart"/>
      <w:r>
        <w:rPr>
          <w:b/>
        </w:rPr>
        <w:t>Backtesting</w:t>
      </w:r>
      <w:proofErr w:type="spellEnd"/>
      <w:r>
        <w:rPr>
          <w:b/>
        </w:rPr>
        <w:t xml:space="preserve"> </w:t>
      </w:r>
      <w:r>
        <w:t xml:space="preserve">and </w:t>
      </w:r>
      <w:r>
        <w:rPr>
          <w:b/>
        </w:rPr>
        <w:t xml:space="preserve">Stress testing </w:t>
      </w:r>
      <w:r>
        <w:t xml:space="preserve">report for various market parameters for regulatory reporting </w:t>
      </w:r>
    </w:p>
    <w:p w14:paraId="26EFBE13" w14:textId="77777777" w:rsidR="001A59ED" w:rsidRDefault="00DF6D39">
      <w:pPr>
        <w:numPr>
          <w:ilvl w:val="0"/>
          <w:numId w:val="4"/>
        </w:numPr>
        <w:ind w:right="107" w:hanging="360"/>
      </w:pPr>
      <w:r>
        <w:t>Achieving highest level of accuracy in daily risk reports and review and mitigation of i</w:t>
      </w:r>
      <w:r>
        <w:t xml:space="preserve">ssues in Risk numbers </w:t>
      </w:r>
    </w:p>
    <w:p w14:paraId="565BAEDA" w14:textId="77777777" w:rsidR="001A59ED" w:rsidRDefault="00DF6D39">
      <w:pPr>
        <w:numPr>
          <w:ilvl w:val="0"/>
          <w:numId w:val="4"/>
        </w:numPr>
        <w:ind w:right="107" w:hanging="360"/>
      </w:pPr>
      <w:r>
        <w:t xml:space="preserve">Ensuring accuracy of risk positions, Capital and sensitivities through position and portfolio move analysis </w:t>
      </w:r>
    </w:p>
    <w:p w14:paraId="164FB3C5" w14:textId="77777777" w:rsidR="001A59ED" w:rsidRDefault="00DF6D39">
      <w:pPr>
        <w:spacing w:after="5" w:line="259" w:lineRule="auto"/>
        <w:ind w:left="0" w:firstLine="0"/>
      </w:pPr>
      <w:r>
        <w:rPr>
          <w:sz w:val="21"/>
        </w:rPr>
        <w:t xml:space="preserve"> </w:t>
      </w:r>
    </w:p>
    <w:p w14:paraId="0AB0467D" w14:textId="01539B24" w:rsidR="001A59ED" w:rsidRDefault="00272A7A">
      <w:pPr>
        <w:pStyle w:val="Heading1"/>
        <w:tabs>
          <w:tab w:val="center" w:pos="1757"/>
          <w:tab w:val="center" w:pos="7504"/>
        </w:tabs>
        <w:ind w:left="0" w:firstLine="0"/>
      </w:pPr>
      <w:r>
        <w:rPr>
          <w:b w:val="0"/>
          <w:sz w:val="22"/>
        </w:rPr>
        <w:t xml:space="preserve">       </w:t>
      </w:r>
      <w:r>
        <w:t>KPMG</w:t>
      </w:r>
      <w:r w:rsidR="00DF6D39">
        <w:rPr>
          <w:sz w:val="22"/>
        </w:rPr>
        <w:tab/>
        <w:t xml:space="preserve"> </w:t>
      </w:r>
    </w:p>
    <w:p w14:paraId="278CEC8C" w14:textId="3276EE7B" w:rsidR="001A59ED" w:rsidRDefault="00DF6D39">
      <w:pPr>
        <w:tabs>
          <w:tab w:val="center" w:pos="2052"/>
          <w:tab w:val="center" w:pos="7504"/>
          <w:tab w:val="right" w:pos="9792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b/>
          <w:sz w:val="22"/>
        </w:rPr>
        <w:t>Consultant, Risk and Advisory Services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</w:t>
      </w:r>
      <w:r>
        <w:rPr>
          <w:b/>
        </w:rPr>
        <w:t>Apr’15 – Apr’1</w:t>
      </w:r>
      <w:r w:rsidR="00272A7A">
        <w:rPr>
          <w:b/>
        </w:rPr>
        <w:t>7</w:t>
      </w:r>
      <w:r>
        <w:rPr>
          <w:b/>
        </w:rPr>
        <w:t xml:space="preserve"> </w:t>
      </w:r>
    </w:p>
    <w:p w14:paraId="645B871B" w14:textId="77777777" w:rsidR="001A59ED" w:rsidRDefault="00DF6D39">
      <w:pPr>
        <w:spacing w:after="0" w:line="259" w:lineRule="auto"/>
        <w:ind w:left="0" w:firstLine="0"/>
      </w:pPr>
      <w:r>
        <w:t xml:space="preserve"> </w:t>
      </w:r>
    </w:p>
    <w:p w14:paraId="265B0541" w14:textId="77777777" w:rsidR="001A59ED" w:rsidRDefault="00DF6D39">
      <w:pPr>
        <w:numPr>
          <w:ilvl w:val="0"/>
          <w:numId w:val="5"/>
        </w:numPr>
        <w:ind w:right="107" w:hanging="360"/>
      </w:pPr>
      <w:r>
        <w:t xml:space="preserve">Assisted and handled Internal Audit Assignments for </w:t>
      </w:r>
      <w:r>
        <w:rPr>
          <w:b/>
        </w:rPr>
        <w:t xml:space="preserve">Mutual Funds </w:t>
      </w:r>
      <w:r>
        <w:t xml:space="preserve">and their Asset Management Companies &amp; Trustee Companies </w:t>
      </w:r>
    </w:p>
    <w:p w14:paraId="0CE55E6A" w14:textId="77777777" w:rsidR="001A59ED" w:rsidRDefault="00DF6D39">
      <w:pPr>
        <w:numPr>
          <w:ilvl w:val="0"/>
          <w:numId w:val="5"/>
        </w:numPr>
        <w:spacing w:after="62"/>
        <w:ind w:right="107" w:hanging="360"/>
      </w:pPr>
      <w:r>
        <w:t xml:space="preserve">Audited the daily NAV process and signed off the NAV numbers every day before daily release for Mutual Fund clients </w:t>
      </w:r>
    </w:p>
    <w:p w14:paraId="5663CD24" w14:textId="77777777" w:rsidR="001A59ED" w:rsidRDefault="00DF6D39">
      <w:pPr>
        <w:numPr>
          <w:ilvl w:val="0"/>
          <w:numId w:val="5"/>
        </w:numPr>
        <w:ind w:right="107" w:hanging="360"/>
      </w:pPr>
      <w:r>
        <w:t>Reviewed Regulat</w:t>
      </w:r>
      <w:r>
        <w:t xml:space="preserve">ory and Internal Certificates and Reports prepared and submitted by the Mutual Funds and their Asset Management Companies &amp; Trustee Companies </w:t>
      </w:r>
    </w:p>
    <w:p w14:paraId="4DC1C69A" w14:textId="77777777" w:rsidR="001A59ED" w:rsidRDefault="00DF6D39">
      <w:pPr>
        <w:numPr>
          <w:ilvl w:val="0"/>
          <w:numId w:val="5"/>
        </w:numPr>
        <w:ind w:right="107" w:hanging="360"/>
      </w:pPr>
      <w:r>
        <w:t xml:space="preserve">Handled Internal Controls Over Financial Reporting (ICFR) assignment for Asset Management Companies. </w:t>
      </w:r>
    </w:p>
    <w:p w14:paraId="498A379A" w14:textId="22963192" w:rsidR="001A59ED" w:rsidRDefault="00DF6D39" w:rsidP="00272A7A">
      <w:pPr>
        <w:spacing w:after="161" w:line="259" w:lineRule="auto"/>
        <w:ind w:left="0" w:firstLine="0"/>
      </w:pPr>
      <w:r>
        <w:t xml:space="preserve"> </w:t>
      </w:r>
    </w:p>
    <w:p w14:paraId="5683F06D" w14:textId="77777777" w:rsidR="001A59ED" w:rsidRDefault="00DF6D39">
      <w:pPr>
        <w:tabs>
          <w:tab w:val="center" w:pos="9648"/>
        </w:tabs>
        <w:spacing w:after="1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67817" wp14:editId="4B89F727">
                <wp:simplePos x="0" y="0"/>
                <wp:positionH relativeFrom="column">
                  <wp:posOffset>99365</wp:posOffset>
                </wp:positionH>
                <wp:positionV relativeFrom="paragraph">
                  <wp:posOffset>102489</wp:posOffset>
                </wp:positionV>
                <wp:extent cx="6026785" cy="16764"/>
                <wp:effectExtent l="0" t="0" r="0" b="0"/>
                <wp:wrapNone/>
                <wp:docPr id="6508" name="Group 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85" cy="16764"/>
                          <a:chOff x="0" y="0"/>
                          <a:chExt cx="6026785" cy="16764"/>
                        </a:xfrm>
                      </wpg:grpSpPr>
                      <wps:wsp>
                        <wps:cNvPr id="7363" name="Shape 7363"/>
                        <wps:cNvSpPr/>
                        <wps:spPr>
                          <a:xfrm>
                            <a:off x="0" y="0"/>
                            <a:ext cx="6026785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785" h="16764">
                                <a:moveTo>
                                  <a:pt x="0" y="0"/>
                                </a:moveTo>
                                <a:lnTo>
                                  <a:pt x="6026785" y="0"/>
                                </a:lnTo>
                                <a:lnTo>
                                  <a:pt x="6026785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08" style="width:474.55pt;height:1.32001pt;position:absolute;z-index:217;mso-position-horizontal-relative:text;mso-position-horizontal:absolute;margin-left:7.824pt;mso-position-vertical-relative:text;margin-top:8.07004pt;" coordsize="60267,167">
                <v:shape id="Shape 7364" style="position:absolute;width:60267;height:167;left:0;top:0;" coordsize="6026785,16764" path="m0,0l6026785,0l6026785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TOOLS AND APPLICATIONS: </w:t>
      </w:r>
      <w:r>
        <w:rPr>
          <w:b/>
        </w:rPr>
        <w:tab/>
        <w:t xml:space="preserve"> </w:t>
      </w:r>
    </w:p>
    <w:p w14:paraId="1EAB6B81" w14:textId="77777777" w:rsidR="001A59ED" w:rsidRDefault="00DF6D39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14:paraId="3147E88A" w14:textId="77777777" w:rsidR="001A59ED" w:rsidRDefault="00DF6D39">
      <w:pPr>
        <w:numPr>
          <w:ilvl w:val="0"/>
          <w:numId w:val="6"/>
        </w:numPr>
        <w:ind w:right="107" w:hanging="360"/>
      </w:pPr>
      <w:r>
        <w:t xml:space="preserve">Using of advanced </w:t>
      </w:r>
      <w:r>
        <w:rPr>
          <w:b/>
        </w:rPr>
        <w:t xml:space="preserve">Excel </w:t>
      </w:r>
      <w:r>
        <w:t xml:space="preserve">and </w:t>
      </w:r>
      <w:r>
        <w:rPr>
          <w:b/>
        </w:rPr>
        <w:t xml:space="preserve">VBA </w:t>
      </w:r>
      <w:r>
        <w:t xml:space="preserve">functions to create and maintain Risk Models and Risk Report calculation </w:t>
      </w:r>
    </w:p>
    <w:p w14:paraId="2EB0C436" w14:textId="77777777" w:rsidR="001A59ED" w:rsidRDefault="00DF6D39">
      <w:pPr>
        <w:numPr>
          <w:ilvl w:val="0"/>
          <w:numId w:val="6"/>
        </w:numPr>
        <w:ind w:right="107" w:hanging="360"/>
      </w:pPr>
      <w:r>
        <w:t>Hands on ex</w:t>
      </w:r>
      <w:r>
        <w:t xml:space="preserve">perience with </w:t>
      </w:r>
      <w:r>
        <w:rPr>
          <w:b/>
        </w:rPr>
        <w:t xml:space="preserve">R </w:t>
      </w:r>
      <w:r>
        <w:t xml:space="preserve">and </w:t>
      </w:r>
      <w:r>
        <w:rPr>
          <w:b/>
        </w:rPr>
        <w:t xml:space="preserve">Python </w:t>
      </w:r>
      <w:r>
        <w:t xml:space="preserve">to run </w:t>
      </w:r>
      <w:proofErr w:type="gramStart"/>
      <w:r>
        <w:t>pre define</w:t>
      </w:r>
      <w:proofErr w:type="gramEnd"/>
      <w:r>
        <w:t xml:space="preserve"> codes and debug when required </w:t>
      </w:r>
    </w:p>
    <w:p w14:paraId="4E64096F" w14:textId="77777777" w:rsidR="001A59ED" w:rsidRDefault="00DF6D39">
      <w:pPr>
        <w:numPr>
          <w:ilvl w:val="0"/>
          <w:numId w:val="6"/>
        </w:numPr>
        <w:ind w:right="107" w:hanging="360"/>
      </w:pPr>
      <w:r>
        <w:t xml:space="preserve">Understanding of </w:t>
      </w:r>
      <w:r>
        <w:rPr>
          <w:b/>
        </w:rPr>
        <w:t xml:space="preserve">Bloomberg </w:t>
      </w:r>
      <w:r>
        <w:t xml:space="preserve">terminal to extract market data for real time and historical prices </w:t>
      </w:r>
    </w:p>
    <w:p w14:paraId="6ECABB8B" w14:textId="77777777" w:rsidR="001A59ED" w:rsidRDefault="00DF6D39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7289A3A0" w14:textId="77777777" w:rsidR="001A59ED" w:rsidRDefault="00DF6D39">
      <w:pPr>
        <w:pStyle w:val="Heading2"/>
        <w:spacing w:after="1"/>
        <w:ind w:left="151"/>
      </w:pPr>
      <w:r>
        <w:rPr>
          <w:sz w:val="20"/>
        </w:rPr>
        <w:t xml:space="preserve">EDUCATIONAL QUALIFICATIONS </w:t>
      </w:r>
    </w:p>
    <w:p w14:paraId="25573321" w14:textId="77777777" w:rsidR="001A59ED" w:rsidRDefault="00DF6D39">
      <w:pPr>
        <w:spacing w:after="311" w:line="259" w:lineRule="auto"/>
        <w:ind w:left="0" w:right="142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DB631F" wp14:editId="29764879">
                <wp:extent cx="5958840" cy="12700"/>
                <wp:effectExtent l="0" t="0" r="0" b="0"/>
                <wp:docPr id="6510" name="Group 6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12700"/>
                          <a:chOff x="0" y="0"/>
                          <a:chExt cx="5958840" cy="12700"/>
                        </a:xfrm>
                      </wpg:grpSpPr>
                      <wps:wsp>
                        <wps:cNvPr id="1256" name="Shape 1256"/>
                        <wps:cNvSpPr/>
                        <wps:spPr>
                          <a:xfrm>
                            <a:off x="0" y="0"/>
                            <a:ext cx="595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10" style="width:469.2pt;height:1pt;mso-position-horizontal-relative:char;mso-position-vertical-relative:line" coordsize="59588,127">
                <v:shape id="Shape 1256" style="position:absolute;width:59588;height:0;left:0;top:0;" coordsize="5958840,0" path="m0,0l595884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"/>
        </w:rPr>
        <w:t xml:space="preserve"> </w:t>
      </w:r>
    </w:p>
    <w:p w14:paraId="1D513229" w14:textId="0BFC3450" w:rsidR="001A59ED" w:rsidRDefault="00DF6D39">
      <w:pPr>
        <w:numPr>
          <w:ilvl w:val="0"/>
          <w:numId w:val="7"/>
        </w:numPr>
        <w:ind w:right="107" w:hanging="360"/>
      </w:pPr>
      <w:r>
        <w:t xml:space="preserve">Bachelors of Commerce from </w:t>
      </w:r>
      <w:r w:rsidR="00272A7A">
        <w:t>Bangalore</w:t>
      </w:r>
      <w:r>
        <w:t xml:space="preserve"> University, Ujjai</w:t>
      </w:r>
      <w:r>
        <w:t xml:space="preserve">n (M.P.) with </w:t>
      </w:r>
      <w:r w:rsidR="00272A7A">
        <w:t>8</w:t>
      </w:r>
      <w:r>
        <w:t xml:space="preserve">3% marks in February 2014 </w:t>
      </w:r>
    </w:p>
    <w:p w14:paraId="4EFE1913" w14:textId="77777777" w:rsidR="001A59ED" w:rsidRDefault="00DF6D39">
      <w:pPr>
        <w:numPr>
          <w:ilvl w:val="0"/>
          <w:numId w:val="7"/>
        </w:numPr>
        <w:ind w:right="107" w:hanging="360"/>
      </w:pPr>
      <w:r>
        <w:t>Higher Secondary Certificate (12</w:t>
      </w:r>
      <w:r>
        <w:rPr>
          <w:vertAlign w:val="superscript"/>
        </w:rPr>
        <w:t>th</w:t>
      </w:r>
      <w:r>
        <w:t xml:space="preserve"> grade - PCM) from CBSE Board with 78% marks in March 2010 </w:t>
      </w:r>
    </w:p>
    <w:p w14:paraId="0514C100" w14:textId="77777777" w:rsidR="001A59ED" w:rsidRDefault="00DF6D39">
      <w:pPr>
        <w:numPr>
          <w:ilvl w:val="0"/>
          <w:numId w:val="7"/>
        </w:numPr>
        <w:ind w:right="107" w:hanging="360"/>
      </w:pPr>
      <w:r>
        <w:t>Senior Secondary Certificate (10</w:t>
      </w:r>
      <w:r>
        <w:rPr>
          <w:vertAlign w:val="superscript"/>
        </w:rPr>
        <w:t>th</w:t>
      </w:r>
      <w:r>
        <w:t xml:space="preserve"> grade) from CBSE Board with 86% marks in March 2008 </w:t>
      </w:r>
    </w:p>
    <w:p w14:paraId="083CE157" w14:textId="77777777" w:rsidR="001A59ED" w:rsidRDefault="00DF6D39">
      <w:pPr>
        <w:spacing w:after="16" w:line="259" w:lineRule="auto"/>
        <w:ind w:left="0" w:firstLine="0"/>
      </w:pPr>
      <w:r>
        <w:rPr>
          <w:sz w:val="18"/>
        </w:rPr>
        <w:t xml:space="preserve"> </w:t>
      </w:r>
    </w:p>
    <w:p w14:paraId="229D6CE5" w14:textId="77777777" w:rsidR="001A59ED" w:rsidRDefault="00DF6D39">
      <w:pPr>
        <w:pStyle w:val="Heading2"/>
        <w:tabs>
          <w:tab w:val="center" w:pos="9650"/>
        </w:tabs>
        <w:spacing w:after="1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C703E1" wp14:editId="22EC91E0">
                <wp:simplePos x="0" y="0"/>
                <wp:positionH relativeFrom="column">
                  <wp:posOffset>99365</wp:posOffset>
                </wp:positionH>
                <wp:positionV relativeFrom="paragraph">
                  <wp:posOffset>102489</wp:posOffset>
                </wp:positionV>
                <wp:extent cx="6028309" cy="16764"/>
                <wp:effectExtent l="0" t="0" r="0" b="0"/>
                <wp:wrapNone/>
                <wp:docPr id="6509" name="Group 6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309" cy="16764"/>
                          <a:chOff x="0" y="0"/>
                          <a:chExt cx="6028309" cy="16764"/>
                        </a:xfrm>
                      </wpg:grpSpPr>
                      <wps:wsp>
                        <wps:cNvPr id="7365" name="Shape 7365"/>
                        <wps:cNvSpPr/>
                        <wps:spPr>
                          <a:xfrm>
                            <a:off x="0" y="0"/>
                            <a:ext cx="6028309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1676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09" style="width:474.67pt;height:1.32001pt;position:absolute;z-index:408;mso-position-horizontal-relative:text;mso-position-horizontal:absolute;margin-left:7.824pt;mso-position-vertical-relative:text;margin-top:8.07001pt;" coordsize="60283,167">
                <v:shape id="Shape 7366" style="position:absolute;width:60283;height:167;left:0;top:0;" coordsize="6028309,16764" path="m0,0l6028309,0l6028309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PERSONAL DETAILS </w:t>
      </w:r>
      <w:r>
        <w:rPr>
          <w:sz w:val="20"/>
        </w:rPr>
        <w:tab/>
        <w:t xml:space="preserve"> </w:t>
      </w:r>
    </w:p>
    <w:p w14:paraId="0C676011" w14:textId="77777777" w:rsidR="001A59ED" w:rsidRDefault="00DF6D39">
      <w:pPr>
        <w:spacing w:after="43" w:line="259" w:lineRule="auto"/>
        <w:ind w:left="0" w:firstLine="0"/>
      </w:pPr>
      <w:r>
        <w:rPr>
          <w:b/>
          <w:sz w:val="16"/>
        </w:rPr>
        <w:t xml:space="preserve"> </w:t>
      </w:r>
    </w:p>
    <w:p w14:paraId="74DD1B9A" w14:textId="63D6A684" w:rsidR="001A59ED" w:rsidRDefault="00DF6D39">
      <w:pPr>
        <w:numPr>
          <w:ilvl w:val="0"/>
          <w:numId w:val="8"/>
        </w:numPr>
        <w:ind w:right="107" w:hanging="360"/>
      </w:pPr>
      <w:r>
        <w:t>Date of</w:t>
      </w:r>
      <w:r>
        <w:t xml:space="preserve"> Birth: </w:t>
      </w:r>
      <w:r w:rsidR="00272A7A">
        <w:t>August</w:t>
      </w:r>
      <w:r>
        <w:t xml:space="preserve"> </w:t>
      </w:r>
      <w:r w:rsidR="00272A7A">
        <w:t>1</w:t>
      </w:r>
      <w:r>
        <w:t>5</w:t>
      </w:r>
      <w:r>
        <w:rPr>
          <w:vertAlign w:val="superscript"/>
        </w:rPr>
        <w:t>th</w:t>
      </w:r>
      <w:r>
        <w:t>, 199</w:t>
      </w:r>
      <w:r w:rsidR="00272A7A">
        <w:t>4</w:t>
      </w:r>
      <w:r>
        <w:t xml:space="preserve"> </w:t>
      </w:r>
    </w:p>
    <w:p w14:paraId="6178E252" w14:textId="611A7A58" w:rsidR="00272A7A" w:rsidRDefault="00DF6D39" w:rsidP="00272A7A">
      <w:pPr>
        <w:numPr>
          <w:ilvl w:val="0"/>
          <w:numId w:val="8"/>
        </w:numPr>
        <w:ind w:right="107" w:hanging="360"/>
      </w:pPr>
      <w:r>
        <w:t xml:space="preserve">Languages Known: English, Hindi &amp; </w:t>
      </w:r>
      <w:r w:rsidR="00272A7A">
        <w:t>German</w:t>
      </w:r>
    </w:p>
    <w:p w14:paraId="0B09E944" w14:textId="3CBEF4D0" w:rsidR="001A59ED" w:rsidRDefault="001A59ED">
      <w:pPr>
        <w:spacing w:after="0" w:line="259" w:lineRule="auto"/>
        <w:ind w:left="1020" w:firstLine="0"/>
      </w:pPr>
    </w:p>
    <w:sectPr w:rsidR="001A59ED">
      <w:pgSz w:w="12240" w:h="15840"/>
      <w:pgMar w:top="468" w:right="1308" w:bottom="285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B50C" w14:textId="77777777" w:rsidR="00DF6D39" w:rsidRDefault="00DF6D39" w:rsidP="00272A7A">
      <w:pPr>
        <w:spacing w:after="0" w:line="240" w:lineRule="auto"/>
      </w:pPr>
      <w:r>
        <w:separator/>
      </w:r>
    </w:p>
  </w:endnote>
  <w:endnote w:type="continuationSeparator" w:id="0">
    <w:p w14:paraId="5983EB8B" w14:textId="77777777" w:rsidR="00DF6D39" w:rsidRDefault="00DF6D39" w:rsidP="0027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EE2F" w14:textId="77777777" w:rsidR="00DF6D39" w:rsidRDefault="00DF6D39" w:rsidP="00272A7A">
      <w:pPr>
        <w:spacing w:after="0" w:line="240" w:lineRule="auto"/>
      </w:pPr>
      <w:r>
        <w:separator/>
      </w:r>
    </w:p>
  </w:footnote>
  <w:footnote w:type="continuationSeparator" w:id="0">
    <w:p w14:paraId="67B9FE6F" w14:textId="77777777" w:rsidR="00DF6D39" w:rsidRDefault="00DF6D39" w:rsidP="0027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02E2"/>
    <w:multiLevelType w:val="hybridMultilevel"/>
    <w:tmpl w:val="801AC22C"/>
    <w:lvl w:ilvl="0" w:tplc="955EA830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3CB2">
      <w:start w:val="1"/>
      <w:numFmt w:val="bullet"/>
      <w:lvlText w:val="o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78B57C">
      <w:start w:val="1"/>
      <w:numFmt w:val="bullet"/>
      <w:lvlText w:val="▪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6BE1E">
      <w:start w:val="1"/>
      <w:numFmt w:val="bullet"/>
      <w:lvlText w:val="•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E7502">
      <w:start w:val="1"/>
      <w:numFmt w:val="bullet"/>
      <w:lvlText w:val="o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87EE6">
      <w:start w:val="1"/>
      <w:numFmt w:val="bullet"/>
      <w:lvlText w:val="▪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054E0">
      <w:start w:val="1"/>
      <w:numFmt w:val="bullet"/>
      <w:lvlText w:val="•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300038">
      <w:start w:val="1"/>
      <w:numFmt w:val="bullet"/>
      <w:lvlText w:val="o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67560">
      <w:start w:val="1"/>
      <w:numFmt w:val="bullet"/>
      <w:lvlText w:val="▪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92BD0"/>
    <w:multiLevelType w:val="hybridMultilevel"/>
    <w:tmpl w:val="2F16CABC"/>
    <w:lvl w:ilvl="0" w:tplc="231099D4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A2865FC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390E7F2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1182F52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3C278CE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6B64170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C62495E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8D4CBCC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9529E40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5374CA0"/>
    <w:multiLevelType w:val="hybridMultilevel"/>
    <w:tmpl w:val="C5108720"/>
    <w:lvl w:ilvl="0" w:tplc="3D4295CA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E4342">
      <w:start w:val="1"/>
      <w:numFmt w:val="bullet"/>
      <w:lvlText w:val="o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E5A3C">
      <w:start w:val="1"/>
      <w:numFmt w:val="bullet"/>
      <w:lvlText w:val="▪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DD0A">
      <w:start w:val="1"/>
      <w:numFmt w:val="bullet"/>
      <w:lvlText w:val="•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D44C">
      <w:start w:val="1"/>
      <w:numFmt w:val="bullet"/>
      <w:lvlText w:val="o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660FC">
      <w:start w:val="1"/>
      <w:numFmt w:val="bullet"/>
      <w:lvlText w:val="▪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A2B0A">
      <w:start w:val="1"/>
      <w:numFmt w:val="bullet"/>
      <w:lvlText w:val="•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DFD0">
      <w:start w:val="1"/>
      <w:numFmt w:val="bullet"/>
      <w:lvlText w:val="o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884D2">
      <w:start w:val="1"/>
      <w:numFmt w:val="bullet"/>
      <w:lvlText w:val="▪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0275B3"/>
    <w:multiLevelType w:val="hybridMultilevel"/>
    <w:tmpl w:val="469C4720"/>
    <w:lvl w:ilvl="0" w:tplc="27E6E6BE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E1A03C2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50C5DDC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4047D6C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676E490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CA89A98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1D48F0C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4E406C8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2049A06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912123E"/>
    <w:multiLevelType w:val="hybridMultilevel"/>
    <w:tmpl w:val="F75E89E4"/>
    <w:lvl w:ilvl="0" w:tplc="53148CA0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8F65B24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F6A1E0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146CDB0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B92D5CC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14EA6AA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8AA7A88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3D813DA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6D04B4C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ABF7B97"/>
    <w:multiLevelType w:val="hybridMultilevel"/>
    <w:tmpl w:val="6170965C"/>
    <w:lvl w:ilvl="0" w:tplc="AA94A356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00156">
      <w:start w:val="1"/>
      <w:numFmt w:val="bullet"/>
      <w:lvlText w:val="o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0117C">
      <w:start w:val="1"/>
      <w:numFmt w:val="bullet"/>
      <w:lvlText w:val="▪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48AA8">
      <w:start w:val="1"/>
      <w:numFmt w:val="bullet"/>
      <w:lvlText w:val="•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83624">
      <w:start w:val="1"/>
      <w:numFmt w:val="bullet"/>
      <w:lvlText w:val="o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88E4A">
      <w:start w:val="1"/>
      <w:numFmt w:val="bullet"/>
      <w:lvlText w:val="▪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EA0A3C">
      <w:start w:val="1"/>
      <w:numFmt w:val="bullet"/>
      <w:lvlText w:val="•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AE60C">
      <w:start w:val="1"/>
      <w:numFmt w:val="bullet"/>
      <w:lvlText w:val="o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2E4C4">
      <w:start w:val="1"/>
      <w:numFmt w:val="bullet"/>
      <w:lvlText w:val="▪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81408B"/>
    <w:multiLevelType w:val="hybridMultilevel"/>
    <w:tmpl w:val="CEF62AB0"/>
    <w:lvl w:ilvl="0" w:tplc="F452A994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C471E2">
      <w:start w:val="1"/>
      <w:numFmt w:val="bullet"/>
      <w:lvlText w:val="o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C1810">
      <w:start w:val="1"/>
      <w:numFmt w:val="bullet"/>
      <w:lvlText w:val="▪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C5FEE">
      <w:start w:val="1"/>
      <w:numFmt w:val="bullet"/>
      <w:lvlText w:val="•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EAC72C">
      <w:start w:val="1"/>
      <w:numFmt w:val="bullet"/>
      <w:lvlText w:val="o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26A0E">
      <w:start w:val="1"/>
      <w:numFmt w:val="bullet"/>
      <w:lvlText w:val="▪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C0986">
      <w:start w:val="1"/>
      <w:numFmt w:val="bullet"/>
      <w:lvlText w:val="•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5E3F0A">
      <w:start w:val="1"/>
      <w:numFmt w:val="bullet"/>
      <w:lvlText w:val="o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4AED0">
      <w:start w:val="1"/>
      <w:numFmt w:val="bullet"/>
      <w:lvlText w:val="▪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478AD"/>
    <w:multiLevelType w:val="hybridMultilevel"/>
    <w:tmpl w:val="BD224FD2"/>
    <w:lvl w:ilvl="0" w:tplc="ACC0D2B8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A1078">
      <w:start w:val="1"/>
      <w:numFmt w:val="bullet"/>
      <w:lvlText w:val="o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285EE">
      <w:start w:val="1"/>
      <w:numFmt w:val="bullet"/>
      <w:lvlText w:val="▪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29572">
      <w:start w:val="1"/>
      <w:numFmt w:val="bullet"/>
      <w:lvlText w:val="•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C58CA">
      <w:start w:val="1"/>
      <w:numFmt w:val="bullet"/>
      <w:lvlText w:val="o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41FE2">
      <w:start w:val="1"/>
      <w:numFmt w:val="bullet"/>
      <w:lvlText w:val="▪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00CD8">
      <w:start w:val="1"/>
      <w:numFmt w:val="bullet"/>
      <w:lvlText w:val="•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47D52">
      <w:start w:val="1"/>
      <w:numFmt w:val="bullet"/>
      <w:lvlText w:val="o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4C92">
      <w:start w:val="1"/>
      <w:numFmt w:val="bullet"/>
      <w:lvlText w:val="▪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ED"/>
    <w:rsid w:val="001A59ED"/>
    <w:rsid w:val="00272A7A"/>
    <w:rsid w:val="00D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D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66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72A7A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2A7A"/>
    <w:rPr>
      <w:rFonts w:ascii="Calibri" w:eastAsia="Calibri" w:hAnsi="Calibri" w:cs="Mangal"/>
      <w:color w:val="000000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72A7A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2A7A"/>
    <w:rPr>
      <w:rFonts w:ascii="Calibri" w:eastAsia="Calibri" w:hAnsi="Calibri" w:cs="Mangal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respectjob.com;respectjob</cp:keywords>
  <cp:lastModifiedBy/>
  <cp:revision>1</cp:revision>
  <dcterms:created xsi:type="dcterms:W3CDTF">2024-04-18T12:02:00Z</dcterms:created>
  <dcterms:modified xsi:type="dcterms:W3CDTF">2024-04-18T12:02:00Z</dcterms:modified>
</cp:coreProperties>
</file>